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77A6" w14:textId="0D772CD2" w:rsidR="00955757" w:rsidRPr="0048350F" w:rsidRDefault="0048350F" w:rsidP="0048350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8350F">
        <w:rPr>
          <w:rFonts w:ascii="Arial" w:hAnsi="Arial" w:cs="Arial"/>
          <w:b/>
          <w:bCs/>
          <w:sz w:val="22"/>
          <w:szCs w:val="22"/>
          <w:u w:val="single"/>
        </w:rPr>
        <w:t>Updated alert – Glucagon-like peptide-1 receptor agonists supply issues</w:t>
      </w:r>
    </w:p>
    <w:p w14:paraId="1EA157A0" w14:textId="1BD09BFA" w:rsidR="00955757" w:rsidRPr="006E777D" w:rsidRDefault="00955757" w:rsidP="00955757">
      <w:pPr>
        <w:jc w:val="both"/>
        <w:rPr>
          <w:rFonts w:ascii="Arial" w:hAnsi="Arial" w:cs="Arial"/>
          <w:sz w:val="20"/>
          <w:szCs w:val="20"/>
        </w:rPr>
      </w:pPr>
      <w:r w:rsidRPr="006E777D">
        <w:rPr>
          <w:rFonts w:ascii="Arial" w:hAnsi="Arial" w:cs="Arial"/>
          <w:sz w:val="20"/>
          <w:szCs w:val="20"/>
        </w:rPr>
        <w:t xml:space="preserve">In July 2023 the Department of Health and Social Care issued </w:t>
      </w:r>
      <w:hyperlink r:id="rId12" w:history="1">
        <w:r w:rsidRPr="00D20C0A">
          <w:rPr>
            <w:rStyle w:val="Hyperlink"/>
            <w:rFonts w:ascii="Arial" w:hAnsi="Arial" w:cs="Arial"/>
            <w:sz w:val="20"/>
            <w:szCs w:val="20"/>
          </w:rPr>
          <w:t>an alert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6E777D">
        <w:rPr>
          <w:rFonts w:ascii="Arial" w:hAnsi="Arial" w:cs="Arial"/>
          <w:sz w:val="20"/>
          <w:szCs w:val="20"/>
        </w:rPr>
        <w:t>highlighting the limited and intermittent supplies of glucagon-like peptide-1</w:t>
      </w:r>
      <w:r>
        <w:rPr>
          <w:rFonts w:ascii="Arial" w:hAnsi="Arial" w:cs="Arial"/>
          <w:sz w:val="20"/>
          <w:szCs w:val="20"/>
        </w:rPr>
        <w:t xml:space="preserve"> </w:t>
      </w:r>
      <w:r w:rsidRPr="006E777D">
        <w:rPr>
          <w:rFonts w:ascii="Arial" w:hAnsi="Arial" w:cs="Arial"/>
          <w:sz w:val="20"/>
          <w:szCs w:val="20"/>
        </w:rPr>
        <w:t>receptor agonists (GLP-1 RAs). It was anticipated that supplies would not stabilise until mid-2024.</w:t>
      </w:r>
    </w:p>
    <w:p w14:paraId="2EAB5231" w14:textId="35B466C3" w:rsidR="00955757" w:rsidRPr="00E1534F" w:rsidRDefault="00E1534F" w:rsidP="00E1534F">
      <w:pPr>
        <w:spacing w:after="0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A NEW</w:t>
      </w:r>
      <w:r w:rsidRPr="00E1534F">
        <w:rPr>
          <w:rFonts w:ascii="Arial" w:hAnsi="Arial" w:cs="Arial"/>
          <w:b/>
          <w:bCs/>
          <w:color w:val="C00000"/>
          <w:sz w:val="20"/>
          <w:szCs w:val="20"/>
        </w:rPr>
        <w:t xml:space="preserve"> </w:t>
      </w:r>
      <w:hyperlink r:id="rId13" w:history="1">
        <w:r w:rsidRPr="00E1534F">
          <w:rPr>
            <w:rStyle w:val="Hyperlink"/>
            <w:rFonts w:ascii="Arial" w:hAnsi="Arial" w:cs="Arial"/>
            <w:b/>
            <w:bCs/>
            <w:color w:val="C00000"/>
            <w:sz w:val="20"/>
            <w:szCs w:val="20"/>
          </w:rPr>
          <w:t>alert</w:t>
        </w:r>
      </w:hyperlink>
      <w:r>
        <w:rPr>
          <w:rFonts w:ascii="Arial" w:hAnsi="Arial" w:cs="Arial"/>
          <w:b/>
          <w:bCs/>
          <w:color w:val="C00000"/>
          <w:sz w:val="20"/>
          <w:szCs w:val="20"/>
        </w:rPr>
        <w:t xml:space="preserve"> has been issued in</w:t>
      </w:r>
      <w:r w:rsidR="00955757" w:rsidRPr="00E1534F">
        <w:rPr>
          <w:rFonts w:ascii="Arial" w:hAnsi="Arial" w:cs="Arial"/>
          <w:b/>
          <w:bCs/>
          <w:color w:val="C00000"/>
          <w:sz w:val="20"/>
          <w:szCs w:val="20"/>
        </w:rPr>
        <w:t xml:space="preserve"> January 2024</w:t>
      </w:r>
      <w:r>
        <w:rPr>
          <w:rFonts w:ascii="Arial" w:hAnsi="Arial" w:cs="Arial"/>
          <w:b/>
          <w:bCs/>
          <w:color w:val="C00000"/>
          <w:sz w:val="20"/>
          <w:szCs w:val="20"/>
        </w:rPr>
        <w:t>, this supersedes the information issued in July 2023</w:t>
      </w:r>
      <w:r w:rsidR="00955757" w:rsidRPr="00E1534F">
        <w:rPr>
          <w:rFonts w:ascii="Arial" w:hAnsi="Arial" w:cs="Arial"/>
          <w:b/>
          <w:bCs/>
          <w:color w:val="C00000"/>
          <w:sz w:val="20"/>
          <w:szCs w:val="20"/>
        </w:rPr>
        <w:t xml:space="preserve">. Prescribers are advised. </w:t>
      </w:r>
    </w:p>
    <w:p w14:paraId="60C28AFD" w14:textId="77777777" w:rsidR="00DC0322" w:rsidRDefault="00955757" w:rsidP="00955757">
      <w:pPr>
        <w:pStyle w:val="ListParagraph"/>
        <w:numPr>
          <w:ilvl w:val="0"/>
          <w:numId w:val="10"/>
        </w:numPr>
        <w:spacing w:after="160" w:line="278" w:lineRule="auto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 w:rsidRPr="00E1534F">
        <w:rPr>
          <w:rFonts w:ascii="Arial" w:hAnsi="Arial" w:cs="Arial"/>
          <w:b/>
          <w:bCs/>
          <w:color w:val="C00000"/>
          <w:sz w:val="20"/>
          <w:szCs w:val="20"/>
        </w:rPr>
        <w:t xml:space="preserve">The supply of glucagon-like peptide-1 receptor agonists (GLP-1 RAs) </w:t>
      </w:r>
      <w:proofErr w:type="gramStart"/>
      <w:r w:rsidRPr="00E1534F">
        <w:rPr>
          <w:rFonts w:ascii="Arial" w:hAnsi="Arial" w:cs="Arial"/>
          <w:b/>
          <w:bCs/>
          <w:color w:val="C00000"/>
          <w:sz w:val="20"/>
          <w:szCs w:val="20"/>
        </w:rPr>
        <w:t>continue</w:t>
      </w:r>
      <w:r w:rsidR="00DC0322">
        <w:rPr>
          <w:rFonts w:ascii="Arial" w:hAnsi="Arial" w:cs="Arial"/>
          <w:b/>
          <w:bCs/>
          <w:color w:val="C00000"/>
          <w:sz w:val="20"/>
          <w:szCs w:val="20"/>
        </w:rPr>
        <w:t>s</w:t>
      </w:r>
      <w:proofErr w:type="gramEnd"/>
      <w:r w:rsidRPr="00E1534F">
        <w:rPr>
          <w:rFonts w:ascii="Arial" w:hAnsi="Arial" w:cs="Arial"/>
          <w:b/>
          <w:bCs/>
          <w:color w:val="C00000"/>
          <w:sz w:val="20"/>
          <w:szCs w:val="20"/>
        </w:rPr>
        <w:t xml:space="preserve"> to be limited</w:t>
      </w:r>
    </w:p>
    <w:p w14:paraId="7D7CFD0F" w14:textId="126C7A3E" w:rsidR="00955757" w:rsidRPr="00E1534F" w:rsidRDefault="00DC0322" w:rsidP="00955757">
      <w:pPr>
        <w:pStyle w:val="ListParagraph"/>
        <w:numPr>
          <w:ilvl w:val="0"/>
          <w:numId w:val="10"/>
        </w:numPr>
        <w:spacing w:after="160" w:line="278" w:lineRule="auto"/>
        <w:jc w:val="both"/>
        <w:rPr>
          <w:rFonts w:ascii="Arial" w:hAnsi="Arial" w:cs="Arial"/>
          <w:b/>
          <w:bCs/>
          <w:color w:val="C00000"/>
          <w:sz w:val="20"/>
          <w:szCs w:val="20"/>
        </w:rPr>
      </w:pPr>
      <w:r>
        <w:rPr>
          <w:rFonts w:ascii="Arial" w:hAnsi="Arial" w:cs="Arial"/>
          <w:b/>
          <w:bCs/>
          <w:color w:val="C00000"/>
          <w:sz w:val="20"/>
          <w:szCs w:val="20"/>
        </w:rPr>
        <w:t>Supply is</w:t>
      </w:r>
      <w:r w:rsidR="00955757" w:rsidRPr="00E1534F">
        <w:rPr>
          <w:rFonts w:ascii="Arial" w:hAnsi="Arial" w:cs="Arial"/>
          <w:b/>
          <w:bCs/>
          <w:color w:val="C00000"/>
          <w:sz w:val="20"/>
          <w:szCs w:val="20"/>
        </w:rPr>
        <w:t xml:space="preserve"> not expected to return to normal until at least the end of 2024. </w:t>
      </w:r>
    </w:p>
    <w:p w14:paraId="3F0531CB" w14:textId="7494CFCB" w:rsidR="00955757" w:rsidRPr="00F97626" w:rsidRDefault="00955757" w:rsidP="0023338A">
      <w:pPr>
        <w:spacing w:after="0"/>
        <w:rPr>
          <w:rFonts w:ascii="Arial" w:hAnsi="Arial" w:cs="Arial"/>
          <w:sz w:val="20"/>
          <w:szCs w:val="20"/>
        </w:rPr>
      </w:pPr>
      <w:r w:rsidRPr="00F97626">
        <w:rPr>
          <w:rFonts w:ascii="Arial" w:hAnsi="Arial" w:cs="Arial"/>
          <w:sz w:val="20"/>
          <w:szCs w:val="20"/>
        </w:rPr>
        <w:t xml:space="preserve">Specific stock issues </w:t>
      </w:r>
      <w:proofErr w:type="gramStart"/>
      <w:r w:rsidRPr="00F97626">
        <w:rPr>
          <w:rFonts w:ascii="Arial" w:hAnsi="Arial" w:cs="Arial"/>
          <w:sz w:val="20"/>
          <w:szCs w:val="20"/>
        </w:rPr>
        <w:t>at this time</w:t>
      </w:r>
      <w:proofErr w:type="gramEnd"/>
      <w:r w:rsidRPr="00F97626">
        <w:rPr>
          <w:rFonts w:ascii="Arial" w:hAnsi="Arial" w:cs="Arial"/>
          <w:sz w:val="20"/>
          <w:szCs w:val="20"/>
        </w:rPr>
        <w:t xml:space="preserve"> include</w:t>
      </w:r>
      <w:r w:rsidR="00D51173">
        <w:rPr>
          <w:rFonts w:ascii="Arial" w:hAnsi="Arial" w:cs="Arial"/>
          <w:sz w:val="20"/>
          <w:szCs w:val="20"/>
        </w:rPr>
        <w:t>:</w:t>
      </w:r>
    </w:p>
    <w:p w14:paraId="455410A3" w14:textId="6FF6E7EC" w:rsidR="00955757" w:rsidRPr="000F05B0" w:rsidRDefault="00955757" w:rsidP="00955757">
      <w:pPr>
        <w:pStyle w:val="ListParagraph"/>
        <w:numPr>
          <w:ilvl w:val="0"/>
          <w:numId w:val="11"/>
        </w:numPr>
        <w:spacing w:after="160" w:line="278" w:lineRule="auto"/>
        <w:jc w:val="both"/>
        <w:rPr>
          <w:rFonts w:ascii="Arial" w:hAnsi="Arial" w:cs="Arial"/>
          <w:sz w:val="20"/>
          <w:szCs w:val="20"/>
        </w:rPr>
      </w:pPr>
      <w:r w:rsidRPr="00D20C0A">
        <w:rPr>
          <w:rFonts w:ascii="Arial" w:hAnsi="Arial" w:cs="Arial"/>
          <w:sz w:val="20"/>
          <w:szCs w:val="20"/>
        </w:rPr>
        <w:t>Byetta® (exenatide)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F05B0">
        <w:rPr>
          <w:rFonts w:ascii="Arial" w:hAnsi="Arial" w:cs="Arial"/>
          <w:sz w:val="20"/>
          <w:szCs w:val="20"/>
        </w:rPr>
        <w:t xml:space="preserve">5micrograms/0.02ml and 10micrograms/0.04ml solution for injection 1.2ml pre-filled pens will be </w:t>
      </w:r>
      <w:r w:rsidRPr="000F05B0">
        <w:rPr>
          <w:rFonts w:ascii="Arial" w:hAnsi="Arial" w:cs="Arial"/>
          <w:b/>
          <w:bCs/>
          <w:sz w:val="20"/>
          <w:szCs w:val="20"/>
        </w:rPr>
        <w:t>discontinued in March 2024</w:t>
      </w:r>
      <w:r w:rsidRPr="000F05B0">
        <w:rPr>
          <w:rFonts w:ascii="Arial" w:hAnsi="Arial" w:cs="Arial"/>
          <w:sz w:val="20"/>
          <w:szCs w:val="20"/>
        </w:rPr>
        <w:t>.</w:t>
      </w:r>
      <w:r w:rsidR="00B767EE">
        <w:rPr>
          <w:rFonts w:ascii="Arial" w:hAnsi="Arial" w:cs="Arial"/>
          <w:sz w:val="20"/>
          <w:szCs w:val="20"/>
        </w:rPr>
        <w:t xml:space="preserve"> </w:t>
      </w:r>
    </w:p>
    <w:p w14:paraId="450F1987" w14:textId="77777777" w:rsidR="00955757" w:rsidRPr="000F05B0" w:rsidRDefault="00955757" w:rsidP="00955757">
      <w:pPr>
        <w:pStyle w:val="ListParagraph"/>
        <w:numPr>
          <w:ilvl w:val="0"/>
          <w:numId w:val="11"/>
        </w:numPr>
        <w:spacing w:after="160" w:line="27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F05B0">
        <w:rPr>
          <w:rFonts w:ascii="Arial" w:hAnsi="Arial" w:cs="Arial"/>
          <w:sz w:val="20"/>
          <w:szCs w:val="20"/>
        </w:rPr>
        <w:t xml:space="preserve">Victoza® (liraglutide) continues to be out of stock and </w:t>
      </w:r>
      <w:r w:rsidRPr="000F05B0">
        <w:rPr>
          <w:rFonts w:ascii="Arial" w:hAnsi="Arial" w:cs="Arial"/>
          <w:b/>
          <w:bCs/>
          <w:sz w:val="20"/>
          <w:szCs w:val="20"/>
        </w:rPr>
        <w:t>further stock is not expected until end of 2024.</w:t>
      </w:r>
    </w:p>
    <w:p w14:paraId="6F53217D" w14:textId="77777777" w:rsidR="00955757" w:rsidRPr="000F05B0" w:rsidRDefault="00955757" w:rsidP="00955757">
      <w:pPr>
        <w:pStyle w:val="ListParagraph"/>
        <w:numPr>
          <w:ilvl w:val="0"/>
          <w:numId w:val="11"/>
        </w:numPr>
        <w:spacing w:after="160" w:line="278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F05B0">
        <w:rPr>
          <w:rFonts w:ascii="Arial" w:hAnsi="Arial" w:cs="Arial"/>
          <w:sz w:val="20"/>
          <w:szCs w:val="20"/>
        </w:rPr>
        <w:t xml:space="preserve">Saxenda® (liraglutide) and </w:t>
      </w:r>
      <w:proofErr w:type="spellStart"/>
      <w:r w:rsidRPr="000F05B0">
        <w:rPr>
          <w:rFonts w:ascii="Arial" w:hAnsi="Arial" w:cs="Arial"/>
          <w:sz w:val="20"/>
          <w:szCs w:val="20"/>
        </w:rPr>
        <w:t>Wegovy</w:t>
      </w:r>
      <w:proofErr w:type="spellEnd"/>
      <w:r w:rsidRPr="000F05B0">
        <w:rPr>
          <w:rFonts w:ascii="Arial" w:hAnsi="Arial" w:cs="Arial"/>
          <w:sz w:val="20"/>
          <w:szCs w:val="20"/>
        </w:rPr>
        <w:t>® (</w:t>
      </w:r>
      <w:proofErr w:type="spellStart"/>
      <w:r w:rsidRPr="000F05B0">
        <w:rPr>
          <w:rFonts w:ascii="Arial" w:hAnsi="Arial" w:cs="Arial"/>
          <w:sz w:val="20"/>
          <w:szCs w:val="20"/>
        </w:rPr>
        <w:t>semaglutide</w:t>
      </w:r>
      <w:proofErr w:type="spellEnd"/>
      <w:r w:rsidRPr="000F05B0">
        <w:rPr>
          <w:rFonts w:ascii="Arial" w:hAnsi="Arial" w:cs="Arial"/>
          <w:sz w:val="20"/>
          <w:szCs w:val="20"/>
        </w:rPr>
        <w:t xml:space="preserve">) remain </w:t>
      </w:r>
      <w:r w:rsidRPr="000F05B0">
        <w:rPr>
          <w:rFonts w:ascii="Arial" w:hAnsi="Arial" w:cs="Arial"/>
          <w:b/>
          <w:bCs/>
          <w:sz w:val="20"/>
          <w:szCs w:val="20"/>
        </w:rPr>
        <w:t>available on the NHS via specialist weight management services.</w:t>
      </w:r>
    </w:p>
    <w:p w14:paraId="6338A342" w14:textId="77777777" w:rsidR="00955757" w:rsidRPr="00312092" w:rsidRDefault="00955757" w:rsidP="00955757">
      <w:pPr>
        <w:pStyle w:val="ListParagraph"/>
        <w:numPr>
          <w:ilvl w:val="0"/>
          <w:numId w:val="11"/>
        </w:numPr>
        <w:spacing w:after="160" w:line="278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0F05B0">
        <w:rPr>
          <w:rFonts w:ascii="Arial" w:hAnsi="Arial" w:cs="Arial"/>
          <w:sz w:val="20"/>
          <w:szCs w:val="20"/>
        </w:rPr>
        <w:t>Rybelsus</w:t>
      </w:r>
      <w:proofErr w:type="spellEnd"/>
      <w:r w:rsidRPr="000F05B0">
        <w:rPr>
          <w:rFonts w:ascii="Arial" w:hAnsi="Arial" w:cs="Arial"/>
          <w:sz w:val="20"/>
          <w:szCs w:val="20"/>
        </w:rPr>
        <w:t>® (</w:t>
      </w:r>
      <w:proofErr w:type="spellStart"/>
      <w:r w:rsidRPr="000F05B0">
        <w:rPr>
          <w:rFonts w:ascii="Arial" w:hAnsi="Arial" w:cs="Arial"/>
          <w:sz w:val="20"/>
          <w:szCs w:val="20"/>
        </w:rPr>
        <w:t>semaglutide</w:t>
      </w:r>
      <w:proofErr w:type="spellEnd"/>
      <w:r w:rsidRPr="000F05B0">
        <w:rPr>
          <w:rFonts w:ascii="Arial" w:hAnsi="Arial" w:cs="Arial"/>
          <w:sz w:val="20"/>
          <w:szCs w:val="20"/>
        </w:rPr>
        <w:t xml:space="preserve">) tablets are now available in sufficient quantities to support </w:t>
      </w:r>
      <w:r w:rsidRPr="000F05B0">
        <w:rPr>
          <w:rFonts w:ascii="Arial" w:hAnsi="Arial" w:cs="Arial"/>
          <w:b/>
          <w:bCs/>
          <w:sz w:val="20"/>
          <w:szCs w:val="20"/>
        </w:rPr>
        <w:t>initiation</w:t>
      </w:r>
      <w:r w:rsidRPr="000F05B0">
        <w:rPr>
          <w:rFonts w:ascii="Arial" w:hAnsi="Arial" w:cs="Arial"/>
          <w:sz w:val="20"/>
          <w:szCs w:val="20"/>
        </w:rPr>
        <w:t xml:space="preserve"> of GLP-1 RA treatment in people with type 2 diabetes (T2DM) </w:t>
      </w:r>
      <w:r w:rsidRPr="000F05B0">
        <w:rPr>
          <w:rFonts w:ascii="Arial" w:hAnsi="Arial" w:cs="Arial"/>
          <w:b/>
          <w:bCs/>
          <w:sz w:val="20"/>
          <w:szCs w:val="20"/>
        </w:rPr>
        <w:t>where clinically appropriate.</w:t>
      </w:r>
    </w:p>
    <w:p w14:paraId="0EDBF5B8" w14:textId="37D01C91" w:rsidR="00955757" w:rsidRPr="00AC60E1" w:rsidRDefault="00D37FF7" w:rsidP="00955757">
      <w:pPr>
        <w:jc w:val="both"/>
        <w:rPr>
          <w:rFonts w:ascii="Arial" w:hAnsi="Arial" w:cs="Arial"/>
          <w:color w:val="98A7BD" w:themeColor="text2" w:themeTint="80"/>
          <w:sz w:val="20"/>
          <w:szCs w:val="20"/>
        </w:rPr>
      </w:pPr>
      <w:r w:rsidRPr="005C015E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Do not prescribe GLP-1 RAs licensed for T2DM for off-label indications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-</w:t>
      </w:r>
      <w:r w:rsidR="00955757" w:rsidRPr="005C015E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existing stock must be conserved for patients with T2DM to mitigate the risk of impaired access to treatment and increased risk in diabetes related complications</w:t>
      </w:r>
      <w:r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>.</w:t>
      </w:r>
      <w:r w:rsidR="00955757" w:rsidRPr="005C015E">
        <w:rPr>
          <w:rFonts w:ascii="Arial" w:hAnsi="Arial" w:cs="Arial"/>
          <w:b/>
          <w:bCs/>
          <w:color w:val="2F5496" w:themeColor="accent1" w:themeShade="BF"/>
          <w:sz w:val="20"/>
          <w:szCs w:val="20"/>
        </w:rPr>
        <w:t xml:space="preserve"> </w:t>
      </w:r>
    </w:p>
    <w:p w14:paraId="276E460C" w14:textId="77777777" w:rsidR="00955757" w:rsidRPr="00020C05" w:rsidRDefault="00955757" w:rsidP="0023338A">
      <w:pPr>
        <w:spacing w:after="0"/>
        <w:rPr>
          <w:rFonts w:ascii="Arial" w:hAnsi="Arial" w:cs="Arial"/>
          <w:sz w:val="20"/>
          <w:szCs w:val="20"/>
        </w:rPr>
      </w:pPr>
      <w:r w:rsidRPr="00020C05">
        <w:rPr>
          <w:rFonts w:ascii="Arial" w:hAnsi="Arial" w:cs="Arial"/>
          <w:sz w:val="20"/>
          <w:szCs w:val="20"/>
        </w:rPr>
        <w:t xml:space="preserve">The Alert mandates that the following actions should be completed no later than the </w:t>
      </w:r>
      <w:proofErr w:type="gramStart"/>
      <w:r w:rsidRPr="00312092">
        <w:rPr>
          <w:rFonts w:ascii="Arial" w:hAnsi="Arial" w:cs="Arial"/>
          <w:b/>
          <w:bCs/>
          <w:sz w:val="20"/>
          <w:szCs w:val="20"/>
        </w:rPr>
        <w:t>28</w:t>
      </w:r>
      <w:r w:rsidRPr="00312092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proofErr w:type="gramEnd"/>
      <w:r w:rsidRPr="00312092">
        <w:rPr>
          <w:rFonts w:ascii="Arial" w:hAnsi="Arial" w:cs="Arial"/>
          <w:b/>
          <w:bCs/>
          <w:sz w:val="20"/>
          <w:szCs w:val="20"/>
        </w:rPr>
        <w:t xml:space="preserve"> March 2024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4C8208A9" w14:textId="77777777" w:rsidR="00955757" w:rsidRPr="00020C05" w:rsidRDefault="00955757" w:rsidP="00955757">
      <w:pPr>
        <w:pStyle w:val="ListParagraph"/>
        <w:numPr>
          <w:ilvl w:val="0"/>
          <w:numId w:val="12"/>
        </w:numPr>
        <w:spacing w:after="160" w:line="278" w:lineRule="auto"/>
        <w:jc w:val="both"/>
        <w:rPr>
          <w:rFonts w:ascii="Arial" w:hAnsi="Arial" w:cs="Arial"/>
          <w:sz w:val="20"/>
          <w:szCs w:val="20"/>
        </w:rPr>
      </w:pPr>
      <w:r w:rsidRPr="00020C05">
        <w:rPr>
          <w:rFonts w:ascii="Arial" w:hAnsi="Arial" w:cs="Arial"/>
          <w:sz w:val="20"/>
          <w:szCs w:val="20"/>
        </w:rPr>
        <w:t xml:space="preserve">Only prescribe GLP-1 RAs for licensed indications. </w:t>
      </w:r>
    </w:p>
    <w:p w14:paraId="2B915CC2" w14:textId="2BE428E6" w:rsidR="00955757" w:rsidRPr="004D5EC2" w:rsidRDefault="00955757" w:rsidP="00BA7119">
      <w:pPr>
        <w:pStyle w:val="ListParagraph"/>
        <w:numPr>
          <w:ilvl w:val="0"/>
          <w:numId w:val="12"/>
        </w:numPr>
        <w:spacing w:after="160" w:line="278" w:lineRule="auto"/>
        <w:jc w:val="both"/>
        <w:rPr>
          <w:rFonts w:ascii="Arial" w:hAnsi="Arial" w:cs="Arial"/>
          <w:sz w:val="20"/>
          <w:szCs w:val="20"/>
          <w:highlight w:val="yellow"/>
        </w:rPr>
      </w:pPr>
      <w:r w:rsidRPr="004D5EC2">
        <w:rPr>
          <w:rFonts w:ascii="Arial" w:hAnsi="Arial" w:cs="Arial"/>
          <w:b/>
          <w:bCs/>
          <w:sz w:val="20"/>
          <w:szCs w:val="20"/>
          <w:highlight w:val="yellow"/>
        </w:rPr>
        <w:t>Identify patients prescribed Byetta and Victoza and prioritise for a review.</w:t>
      </w:r>
      <w:r w:rsidRPr="004D5EC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4D5EC2">
        <w:rPr>
          <w:rFonts w:ascii="Arial" w:hAnsi="Arial" w:cs="Arial"/>
          <w:b/>
          <w:bCs/>
          <w:sz w:val="20"/>
          <w:szCs w:val="20"/>
          <w:highlight w:val="yellow"/>
        </w:rPr>
        <w:t xml:space="preserve">Discuss stopping the GLP1-RA if patients have not achieved treatment goals as per </w:t>
      </w:r>
      <w:hyperlink r:id="rId14" w:history="1">
        <w:r w:rsidR="00096B2A" w:rsidRPr="004D5EC2">
          <w:rPr>
            <w:rStyle w:val="Hyperlink"/>
            <w:rFonts w:ascii="Arial" w:hAnsi="Arial" w:cs="Arial"/>
            <w:b/>
            <w:bCs/>
            <w:sz w:val="20"/>
            <w:szCs w:val="20"/>
            <w:highlight w:val="yellow"/>
          </w:rPr>
          <w:t>NICE NG28</w:t>
        </w:r>
      </w:hyperlink>
      <w:r w:rsidRPr="004D5EC2">
        <w:rPr>
          <w:rFonts w:ascii="Arial" w:hAnsi="Arial" w:cs="Arial"/>
          <w:b/>
          <w:bCs/>
          <w:sz w:val="20"/>
          <w:szCs w:val="20"/>
          <w:highlight w:val="yellow"/>
        </w:rPr>
        <w:t xml:space="preserve">. </w:t>
      </w:r>
      <w:r w:rsidRPr="004D5EC2">
        <w:rPr>
          <w:rFonts w:ascii="Arial" w:hAnsi="Arial" w:cs="Arial"/>
          <w:sz w:val="20"/>
          <w:szCs w:val="20"/>
          <w:highlight w:val="yellow"/>
        </w:rPr>
        <w:t xml:space="preserve">Where a patient would benefit from continued treatment switch to </w:t>
      </w:r>
      <w:proofErr w:type="spellStart"/>
      <w:r w:rsidRPr="004D5EC2">
        <w:rPr>
          <w:rFonts w:ascii="Arial" w:hAnsi="Arial" w:cs="Arial"/>
          <w:sz w:val="20"/>
          <w:szCs w:val="20"/>
          <w:highlight w:val="yellow"/>
        </w:rPr>
        <w:t>Rybelsus</w:t>
      </w:r>
      <w:proofErr w:type="spellEnd"/>
      <w:r w:rsidRPr="004D5EC2">
        <w:rPr>
          <w:rFonts w:ascii="Arial" w:hAnsi="Arial" w:cs="Arial"/>
          <w:sz w:val="20"/>
          <w:szCs w:val="20"/>
          <w:highlight w:val="yellow"/>
        </w:rPr>
        <w:t>® tablets.</w:t>
      </w:r>
    </w:p>
    <w:p w14:paraId="02A03960" w14:textId="77777777" w:rsidR="00955757" w:rsidRPr="00020C05" w:rsidRDefault="00955757" w:rsidP="00955757">
      <w:pPr>
        <w:pStyle w:val="ListParagraph"/>
        <w:numPr>
          <w:ilvl w:val="0"/>
          <w:numId w:val="12"/>
        </w:numPr>
        <w:spacing w:after="160" w:line="278" w:lineRule="auto"/>
        <w:jc w:val="both"/>
        <w:rPr>
          <w:rFonts w:ascii="Arial" w:hAnsi="Arial" w:cs="Arial"/>
          <w:sz w:val="20"/>
          <w:szCs w:val="20"/>
        </w:rPr>
      </w:pPr>
      <w:r w:rsidRPr="00312092">
        <w:rPr>
          <w:rFonts w:ascii="Arial" w:hAnsi="Arial" w:cs="Arial"/>
          <w:b/>
          <w:bCs/>
          <w:sz w:val="20"/>
          <w:szCs w:val="20"/>
        </w:rPr>
        <w:t xml:space="preserve">Prescribe </w:t>
      </w:r>
      <w:proofErr w:type="spellStart"/>
      <w:r w:rsidRPr="00312092">
        <w:rPr>
          <w:rFonts w:ascii="Arial" w:hAnsi="Arial" w:cs="Arial"/>
          <w:b/>
          <w:bCs/>
          <w:sz w:val="20"/>
          <w:szCs w:val="20"/>
        </w:rPr>
        <w:t>Rybelsus</w:t>
      </w:r>
      <w:proofErr w:type="spellEnd"/>
      <w:r w:rsidRPr="00020C05">
        <w:rPr>
          <w:rFonts w:ascii="Arial" w:hAnsi="Arial" w:cs="Arial"/>
          <w:sz w:val="20"/>
          <w:szCs w:val="20"/>
        </w:rPr>
        <w:t>® tablets for</w:t>
      </w:r>
      <w:r>
        <w:rPr>
          <w:rFonts w:ascii="Arial" w:hAnsi="Arial" w:cs="Arial"/>
          <w:sz w:val="20"/>
          <w:szCs w:val="20"/>
        </w:rPr>
        <w:t xml:space="preserve"> any</w:t>
      </w:r>
      <w:r w:rsidRPr="00020C05">
        <w:rPr>
          <w:rFonts w:ascii="Arial" w:hAnsi="Arial" w:cs="Arial"/>
          <w:sz w:val="20"/>
          <w:szCs w:val="20"/>
        </w:rPr>
        <w:t xml:space="preserve"> </w:t>
      </w:r>
      <w:r w:rsidRPr="00312092">
        <w:rPr>
          <w:rFonts w:ascii="Arial" w:hAnsi="Arial" w:cs="Arial"/>
          <w:b/>
          <w:bCs/>
          <w:sz w:val="20"/>
          <w:szCs w:val="20"/>
        </w:rPr>
        <w:t>new</w:t>
      </w:r>
      <w:r w:rsidRPr="00020C05">
        <w:rPr>
          <w:rFonts w:ascii="Arial" w:hAnsi="Arial" w:cs="Arial"/>
          <w:sz w:val="20"/>
          <w:szCs w:val="20"/>
        </w:rPr>
        <w:t xml:space="preserve"> initiations of a GLP-1 RA (in line with NICE NG28).</w:t>
      </w:r>
    </w:p>
    <w:p w14:paraId="57C5C282" w14:textId="77777777" w:rsidR="00955757" w:rsidRPr="00020C05" w:rsidRDefault="00955757" w:rsidP="00955757">
      <w:pPr>
        <w:pStyle w:val="ListParagraph"/>
        <w:numPr>
          <w:ilvl w:val="0"/>
          <w:numId w:val="12"/>
        </w:numPr>
        <w:spacing w:after="160" w:line="278" w:lineRule="auto"/>
        <w:jc w:val="both"/>
        <w:rPr>
          <w:rFonts w:ascii="Arial" w:hAnsi="Arial" w:cs="Arial"/>
          <w:sz w:val="20"/>
          <w:szCs w:val="20"/>
        </w:rPr>
      </w:pPr>
      <w:r w:rsidRPr="00020C05">
        <w:rPr>
          <w:rFonts w:ascii="Arial" w:hAnsi="Arial" w:cs="Arial"/>
          <w:sz w:val="20"/>
          <w:szCs w:val="20"/>
        </w:rPr>
        <w:t xml:space="preserve">Counsel patients on any changes in drug, formulation, and dose regimen where appropriate </w:t>
      </w:r>
    </w:p>
    <w:p w14:paraId="6708C4F2" w14:textId="789DCFB3" w:rsidR="00D37FF7" w:rsidRDefault="00955757" w:rsidP="00955757">
      <w:pPr>
        <w:pStyle w:val="ListParagraph"/>
        <w:numPr>
          <w:ilvl w:val="0"/>
          <w:numId w:val="12"/>
        </w:numPr>
        <w:spacing w:after="160" w:line="278" w:lineRule="auto"/>
        <w:jc w:val="both"/>
        <w:rPr>
          <w:rFonts w:ascii="Arial" w:hAnsi="Arial" w:cs="Arial"/>
          <w:sz w:val="20"/>
          <w:szCs w:val="20"/>
        </w:rPr>
      </w:pPr>
      <w:r w:rsidRPr="00150569">
        <w:rPr>
          <w:rFonts w:ascii="Arial" w:hAnsi="Arial" w:cs="Arial"/>
          <w:b/>
          <w:bCs/>
          <w:sz w:val="20"/>
          <w:szCs w:val="20"/>
        </w:rPr>
        <w:t>Do not</w:t>
      </w:r>
      <w:r w:rsidR="00D37FF7">
        <w:rPr>
          <w:rFonts w:ascii="Arial" w:hAnsi="Arial" w:cs="Arial"/>
          <w:sz w:val="20"/>
          <w:szCs w:val="20"/>
        </w:rPr>
        <w:t>:</w:t>
      </w:r>
    </w:p>
    <w:p w14:paraId="4929B0FB" w14:textId="0BFAB983" w:rsidR="00D37FF7" w:rsidRDefault="00955757" w:rsidP="00D37FF7">
      <w:pPr>
        <w:pStyle w:val="ListParagraph"/>
        <w:numPr>
          <w:ilvl w:val="1"/>
          <w:numId w:val="12"/>
        </w:numPr>
        <w:spacing w:after="160" w:line="278" w:lineRule="auto"/>
        <w:jc w:val="both"/>
        <w:rPr>
          <w:rFonts w:ascii="Arial" w:hAnsi="Arial" w:cs="Arial"/>
          <w:sz w:val="20"/>
          <w:szCs w:val="20"/>
        </w:rPr>
      </w:pPr>
      <w:r w:rsidRPr="00020C05">
        <w:rPr>
          <w:rFonts w:ascii="Arial" w:hAnsi="Arial" w:cs="Arial"/>
          <w:sz w:val="20"/>
          <w:szCs w:val="20"/>
        </w:rPr>
        <w:t xml:space="preserve">double up a lower dose preparation </w:t>
      </w:r>
      <w:r w:rsidR="00E1534F">
        <w:rPr>
          <w:rFonts w:ascii="Arial" w:hAnsi="Arial" w:cs="Arial"/>
          <w:sz w:val="20"/>
          <w:szCs w:val="20"/>
        </w:rPr>
        <w:t xml:space="preserve">if </w:t>
      </w:r>
      <w:r w:rsidRPr="00020C05">
        <w:rPr>
          <w:rFonts w:ascii="Arial" w:hAnsi="Arial" w:cs="Arial"/>
          <w:sz w:val="20"/>
          <w:szCs w:val="20"/>
        </w:rPr>
        <w:t xml:space="preserve">a higher dose preparation of a GLP-1 RA is not available. </w:t>
      </w:r>
    </w:p>
    <w:p w14:paraId="04BD8B94" w14:textId="35D27AF3" w:rsidR="00D37FF7" w:rsidRDefault="00955757" w:rsidP="00D37FF7">
      <w:pPr>
        <w:pStyle w:val="ListParagraph"/>
        <w:numPr>
          <w:ilvl w:val="1"/>
          <w:numId w:val="12"/>
        </w:numPr>
        <w:spacing w:after="160" w:line="278" w:lineRule="auto"/>
        <w:jc w:val="both"/>
        <w:rPr>
          <w:rFonts w:ascii="Arial" w:hAnsi="Arial" w:cs="Arial"/>
          <w:sz w:val="20"/>
          <w:szCs w:val="20"/>
        </w:rPr>
      </w:pPr>
      <w:r w:rsidRPr="00020C05">
        <w:rPr>
          <w:rFonts w:ascii="Arial" w:hAnsi="Arial" w:cs="Arial"/>
          <w:sz w:val="20"/>
          <w:szCs w:val="20"/>
        </w:rPr>
        <w:t xml:space="preserve">switch between strengths of a GLP-1 RA solely based on availability. </w:t>
      </w:r>
    </w:p>
    <w:p w14:paraId="58C3DCA1" w14:textId="29781650" w:rsidR="00955757" w:rsidRPr="00020C05" w:rsidRDefault="00955757" w:rsidP="00D37FF7">
      <w:pPr>
        <w:pStyle w:val="ListParagraph"/>
        <w:numPr>
          <w:ilvl w:val="1"/>
          <w:numId w:val="12"/>
        </w:numPr>
        <w:spacing w:after="160" w:line="278" w:lineRule="auto"/>
        <w:jc w:val="both"/>
        <w:rPr>
          <w:rFonts w:ascii="Arial" w:hAnsi="Arial" w:cs="Arial"/>
          <w:sz w:val="20"/>
          <w:szCs w:val="20"/>
        </w:rPr>
      </w:pPr>
      <w:r w:rsidRPr="00020C05">
        <w:rPr>
          <w:rFonts w:ascii="Arial" w:hAnsi="Arial" w:cs="Arial"/>
          <w:sz w:val="20"/>
          <w:szCs w:val="20"/>
        </w:rPr>
        <w:t>prescribe excessive quantities.</w:t>
      </w:r>
    </w:p>
    <w:p w14:paraId="6CF3F071" w14:textId="77777777" w:rsidR="00955757" w:rsidRPr="00020C05" w:rsidRDefault="00955757" w:rsidP="00955757">
      <w:pPr>
        <w:pStyle w:val="ListParagraph"/>
        <w:numPr>
          <w:ilvl w:val="0"/>
          <w:numId w:val="12"/>
        </w:numPr>
        <w:spacing w:after="160" w:line="278" w:lineRule="auto"/>
        <w:jc w:val="both"/>
        <w:rPr>
          <w:rFonts w:ascii="Arial" w:hAnsi="Arial" w:cs="Arial"/>
          <w:sz w:val="20"/>
          <w:szCs w:val="20"/>
        </w:rPr>
      </w:pPr>
      <w:r w:rsidRPr="00020C05">
        <w:rPr>
          <w:rFonts w:ascii="Arial" w:hAnsi="Arial" w:cs="Arial"/>
          <w:sz w:val="20"/>
          <w:szCs w:val="20"/>
        </w:rPr>
        <w:t xml:space="preserve">Use the principles of shared decision making where an alternative agent needs to be considered, as per NICE guidelines and in conjunction with the clinical guidance. </w:t>
      </w:r>
    </w:p>
    <w:p w14:paraId="655C04BA" w14:textId="77777777" w:rsidR="00955757" w:rsidRPr="00020C05" w:rsidRDefault="00955757" w:rsidP="00955757">
      <w:pPr>
        <w:pStyle w:val="ListParagraph"/>
        <w:numPr>
          <w:ilvl w:val="0"/>
          <w:numId w:val="12"/>
        </w:numPr>
        <w:spacing w:after="160" w:line="278" w:lineRule="auto"/>
        <w:jc w:val="both"/>
        <w:rPr>
          <w:rFonts w:ascii="Arial" w:hAnsi="Arial" w:cs="Arial"/>
          <w:sz w:val="20"/>
          <w:szCs w:val="20"/>
        </w:rPr>
      </w:pPr>
      <w:r w:rsidRPr="00020C05">
        <w:rPr>
          <w:rFonts w:ascii="Arial" w:hAnsi="Arial" w:cs="Arial"/>
          <w:sz w:val="20"/>
          <w:szCs w:val="20"/>
        </w:rPr>
        <w:t>Support patients to access structured education</w:t>
      </w:r>
      <w:r>
        <w:rPr>
          <w:rFonts w:ascii="Arial" w:hAnsi="Arial" w:cs="Arial"/>
          <w:sz w:val="20"/>
          <w:szCs w:val="20"/>
        </w:rPr>
        <w:t>.</w:t>
      </w:r>
    </w:p>
    <w:p w14:paraId="162E4025" w14:textId="46A9B12D" w:rsidR="00955757" w:rsidRDefault="00096B2A" w:rsidP="00955757">
      <w:pPr>
        <w:jc w:val="both"/>
        <w:rPr>
          <w:rFonts w:ascii="Arial" w:hAnsi="Arial" w:cs="Arial"/>
          <w:sz w:val="20"/>
          <w:szCs w:val="20"/>
        </w:rPr>
      </w:pPr>
      <w:r w:rsidRPr="00312092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D9841E6" wp14:editId="4B6BB574">
                <wp:simplePos x="0" y="0"/>
                <wp:positionH relativeFrom="margin">
                  <wp:align>left</wp:align>
                </wp:positionH>
                <wp:positionV relativeFrom="paragraph">
                  <wp:posOffset>257175</wp:posOffset>
                </wp:positionV>
                <wp:extent cx="6345141" cy="1582310"/>
                <wp:effectExtent l="0" t="0" r="17780" b="18415"/>
                <wp:wrapNone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5141" cy="15823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CFA86" w14:textId="77777777" w:rsidR="00955757" w:rsidRDefault="00955757" w:rsidP="00150569">
                            <w:pPr>
                              <w:spacing w:after="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0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GLP-1 RA therapy should only be continued if the adult with T2DM has had a beneficial metabolic response, defined as </w:t>
                            </w:r>
                          </w:p>
                          <w:p w14:paraId="3C73E84E" w14:textId="58DED8E1" w:rsidR="00955757" w:rsidRPr="00096B2A" w:rsidRDefault="00955757" w:rsidP="00096B2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6B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 reduction of at least 11 mmol/mol [1.0%] in HbA1c, </w:t>
                            </w:r>
                            <w:r w:rsidRPr="00096B2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and</w:t>
                            </w:r>
                            <w:r w:rsidRPr="00096B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5A3DB77" w14:textId="279B6E0F" w:rsidR="00955757" w:rsidRPr="00096B2A" w:rsidRDefault="00955757" w:rsidP="00096B2A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96B2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weight loss of at least 3% of initial body weight in 6 months </w:t>
                            </w:r>
                          </w:p>
                          <w:p w14:paraId="3A2749FC" w14:textId="77777777" w:rsidR="00955757" w:rsidRPr="00020C05" w:rsidRDefault="00955757" w:rsidP="0095575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20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Where the person with T2DM has a confirmed beneficial metabolic response but GLP-1 RA therapy is unavailable, review and discuss options for alternative glucose-lowering therapy. Where there has been no beneficial metabolic response to GLP-1 RA therapy, it is clinically appropriate to withdraw GLP-1 RA therapy and consider alterna</w:t>
                            </w:r>
                            <w:r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ti</w:t>
                            </w:r>
                            <w:r w:rsidRPr="00020C0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ve glucose-lowering therapy.</w:t>
                            </w:r>
                          </w:p>
                          <w:p w14:paraId="104E15A7" w14:textId="77777777" w:rsidR="00955757" w:rsidRDefault="00955757" w:rsidP="009557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9841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left:0;text-align:left;margin-left:0;margin-top:20.25pt;width:499.6pt;height:124.6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" fillcolor="#fff2cc [663]">
                <v:textbox>
                  <w:txbxContent>
                    <w:p w14:paraId="758CFA86" w14:textId="77777777" w:rsidR="00955757" w:rsidRDefault="00955757" w:rsidP="00150569">
                      <w:pPr>
                        <w:spacing w:after="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0C0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GLP-1 RA therapy should only be continued if the adult with T2DM has had a beneficial metabolic response, defined as </w:t>
                      </w:r>
                    </w:p>
                    <w:p w14:paraId="3C73E84E" w14:textId="58DED8E1" w:rsidR="00955757" w:rsidRPr="00096B2A" w:rsidRDefault="00955757" w:rsidP="00096B2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6B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 reduction of at least 11 mmol/mol [1.0%] in HbA1c, </w:t>
                      </w:r>
                      <w:r w:rsidRPr="00096B2A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and</w:t>
                      </w:r>
                      <w:r w:rsidRPr="00096B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5A3DB77" w14:textId="279B6E0F" w:rsidR="00955757" w:rsidRPr="00096B2A" w:rsidRDefault="00955757" w:rsidP="00096B2A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96B2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weight loss of at least 3% of initial body weight in 6 months </w:t>
                      </w:r>
                    </w:p>
                    <w:p w14:paraId="3A2749FC" w14:textId="77777777" w:rsidR="00955757" w:rsidRPr="00020C05" w:rsidRDefault="00955757" w:rsidP="0095575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20C05">
                        <w:rPr>
                          <w:rFonts w:ascii="Arial" w:hAnsi="Arial" w:cs="Arial"/>
                          <w:sz w:val="20"/>
                          <w:szCs w:val="20"/>
                        </w:rPr>
                        <w:t>Where the person with T2DM has a confirmed beneficial metabolic response but GLP-1 RA therapy is unavailable, review and discuss options for alternative glucose-lowering therapy. Where there has been no beneficial metabolic response to GLP-1 RA therapy, it is clinically appropriate to withdraw GLP-1 RA therapy and consider alterna</w:t>
                      </w:r>
                      <w:r>
                        <w:rPr>
                          <w:rFonts w:ascii="Tahoma" w:hAnsi="Tahoma" w:cs="Tahoma"/>
                          <w:sz w:val="20"/>
                          <w:szCs w:val="20"/>
                        </w:rPr>
                        <w:t>ti</w:t>
                      </w:r>
                      <w:r w:rsidRPr="00020C05">
                        <w:rPr>
                          <w:rFonts w:ascii="Arial" w:hAnsi="Arial" w:cs="Arial"/>
                          <w:sz w:val="20"/>
                          <w:szCs w:val="20"/>
                        </w:rPr>
                        <w:t>ve glucose-lowering therapy.</w:t>
                      </w:r>
                    </w:p>
                    <w:p w14:paraId="104E15A7" w14:textId="77777777" w:rsidR="00955757" w:rsidRDefault="00955757" w:rsidP="00955757"/>
                  </w:txbxContent>
                </v:textbox>
                <w10:wrap anchorx="margin"/>
              </v:shape>
            </w:pict>
          </mc:Fallback>
        </mc:AlternateContent>
      </w:r>
      <w:r w:rsidR="00955757">
        <w:rPr>
          <w:rFonts w:ascii="Arial" w:hAnsi="Arial" w:cs="Arial"/>
          <w:sz w:val="20"/>
          <w:szCs w:val="20"/>
        </w:rPr>
        <w:t xml:space="preserve">Prescribers are reminded that </w:t>
      </w:r>
      <w:hyperlink r:id="rId15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NICE NG28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55757" w:rsidRPr="00020C05">
        <w:rPr>
          <w:rFonts w:ascii="Arial" w:hAnsi="Arial" w:cs="Arial"/>
          <w:sz w:val="20"/>
          <w:szCs w:val="20"/>
        </w:rPr>
        <w:t>guidance advises:</w:t>
      </w:r>
    </w:p>
    <w:p w14:paraId="075F867D" w14:textId="77777777" w:rsidR="00955757" w:rsidRDefault="00955757" w:rsidP="00955757">
      <w:pPr>
        <w:jc w:val="both"/>
        <w:rPr>
          <w:rFonts w:ascii="Arial" w:hAnsi="Arial" w:cs="Arial"/>
          <w:sz w:val="20"/>
          <w:szCs w:val="20"/>
        </w:rPr>
      </w:pPr>
    </w:p>
    <w:p w14:paraId="76B721FA" w14:textId="77777777" w:rsidR="00955757" w:rsidRDefault="00955757" w:rsidP="00955757">
      <w:pPr>
        <w:jc w:val="both"/>
        <w:rPr>
          <w:rFonts w:ascii="Arial" w:hAnsi="Arial" w:cs="Arial"/>
          <w:sz w:val="20"/>
          <w:szCs w:val="20"/>
        </w:rPr>
      </w:pPr>
    </w:p>
    <w:p w14:paraId="6A9F7957" w14:textId="77777777" w:rsidR="00955757" w:rsidRDefault="00955757" w:rsidP="00955757">
      <w:pPr>
        <w:jc w:val="both"/>
        <w:rPr>
          <w:rFonts w:ascii="Arial" w:hAnsi="Arial" w:cs="Arial"/>
          <w:sz w:val="20"/>
          <w:szCs w:val="20"/>
        </w:rPr>
      </w:pPr>
    </w:p>
    <w:p w14:paraId="02FEF2D3" w14:textId="77777777" w:rsidR="00955757" w:rsidRDefault="00955757" w:rsidP="00955757">
      <w:pPr>
        <w:jc w:val="both"/>
        <w:rPr>
          <w:rFonts w:ascii="Arial" w:hAnsi="Arial" w:cs="Arial"/>
          <w:sz w:val="20"/>
          <w:szCs w:val="20"/>
        </w:rPr>
      </w:pPr>
    </w:p>
    <w:p w14:paraId="293ABF6C" w14:textId="77777777" w:rsidR="00096B2A" w:rsidRDefault="00096B2A" w:rsidP="00955757">
      <w:pPr>
        <w:rPr>
          <w:rFonts w:ascii="Arial" w:hAnsi="Arial" w:cs="Arial"/>
          <w:sz w:val="20"/>
          <w:szCs w:val="20"/>
        </w:rPr>
      </w:pPr>
    </w:p>
    <w:p w14:paraId="385BA3C8" w14:textId="77777777" w:rsidR="00150569" w:rsidRPr="00150569" w:rsidRDefault="00150569" w:rsidP="00955757">
      <w:pPr>
        <w:rPr>
          <w:rFonts w:eastAsiaTheme="minorHAnsi"/>
          <w:sz w:val="8"/>
          <w:szCs w:val="8"/>
        </w:rPr>
      </w:pPr>
    </w:p>
    <w:p w14:paraId="27BFE404" w14:textId="4BFD761D" w:rsidR="00096B2A" w:rsidRPr="00096B2A" w:rsidRDefault="00096B2A" w:rsidP="00955757">
      <w:pPr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 xml:space="preserve">When initiating </w:t>
      </w:r>
      <w:r w:rsidR="00E1534F">
        <w:rPr>
          <w:rFonts w:ascii="Arial" w:eastAsiaTheme="minorHAnsi" w:hAnsi="Arial" w:cs="Arial"/>
          <w:sz w:val="20"/>
          <w:szCs w:val="20"/>
        </w:rPr>
        <w:t xml:space="preserve">or switching </w:t>
      </w:r>
      <w:r>
        <w:rPr>
          <w:rFonts w:ascii="Arial" w:eastAsiaTheme="minorHAnsi" w:hAnsi="Arial" w:cs="Arial"/>
          <w:sz w:val="20"/>
          <w:szCs w:val="20"/>
        </w:rPr>
        <w:t xml:space="preserve">GLP-1 </w:t>
      </w:r>
      <w:r w:rsidR="009543B6">
        <w:rPr>
          <w:rFonts w:ascii="Arial" w:eastAsiaTheme="minorHAnsi" w:hAnsi="Arial" w:cs="Arial"/>
          <w:sz w:val="20"/>
          <w:szCs w:val="20"/>
        </w:rPr>
        <w:t xml:space="preserve">RA ensure a patient plan is agreed with clear 6 month targets as per </w:t>
      </w:r>
      <w:hyperlink r:id="rId16" w:history="1">
        <w:r w:rsidR="009543B6">
          <w:rPr>
            <w:rStyle w:val="Hyperlink"/>
            <w:rFonts w:ascii="Arial" w:eastAsiaTheme="minorHAnsi" w:hAnsi="Arial" w:cs="Arial"/>
            <w:sz w:val="20"/>
            <w:szCs w:val="20"/>
          </w:rPr>
          <w:t>LSCMMG T2DM Guidelines</w:t>
        </w:r>
      </w:hyperlink>
    </w:p>
    <w:sectPr w:rsidR="00096B2A" w:rsidRPr="00096B2A" w:rsidSect="00E1534F">
      <w:headerReference w:type="default" r:id="rId17"/>
      <w:footerReference w:type="default" r:id="rId18"/>
      <w:pgSz w:w="11906" w:h="16838"/>
      <w:pgMar w:top="1440" w:right="1080" w:bottom="0" w:left="108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85DAC" w14:textId="77777777" w:rsidR="00C24E5B" w:rsidRDefault="00C24E5B">
      <w:pPr>
        <w:spacing w:after="0" w:line="240" w:lineRule="auto"/>
      </w:pPr>
      <w:r>
        <w:separator/>
      </w:r>
    </w:p>
  </w:endnote>
  <w:endnote w:type="continuationSeparator" w:id="0">
    <w:p w14:paraId="3D71D49B" w14:textId="77777777" w:rsidR="00C24E5B" w:rsidRDefault="00C24E5B">
      <w:pPr>
        <w:spacing w:after="0" w:line="240" w:lineRule="auto"/>
      </w:pPr>
      <w:r>
        <w:continuationSeparator/>
      </w:r>
    </w:p>
  </w:endnote>
  <w:endnote w:type="continuationNotice" w:id="1">
    <w:p w14:paraId="46203A71" w14:textId="77777777" w:rsidR="00C24E5B" w:rsidRDefault="00C24E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D6E1A" w14:textId="0B1FFB16" w:rsidR="004E7601" w:rsidRPr="008C006F" w:rsidRDefault="004E7601" w:rsidP="00E1534F">
    <w:pPr>
      <w:spacing w:after="0" w:line="360" w:lineRule="auto"/>
      <w:jc w:val="center"/>
      <w:rPr>
        <w:rFonts w:ascii="Arial" w:eastAsiaTheme="minorEastAsia" w:hAnsi="Arial" w:cs="Arial"/>
        <w:b/>
        <w:bCs/>
        <w:sz w:val="16"/>
        <w:szCs w:val="16"/>
        <w:lang w:eastAsia="en-US"/>
      </w:rPr>
    </w:pPr>
    <w:r w:rsidRPr="5CA15469">
      <w:rPr>
        <w:rFonts w:ascii="Arial" w:eastAsiaTheme="minorEastAsia" w:hAnsi="Arial" w:cs="Arial"/>
        <w:b/>
        <w:bCs/>
        <w:sz w:val="16"/>
        <w:szCs w:val="16"/>
        <w:lang w:eastAsia="en-US"/>
      </w:rPr>
      <w:t>To contact the Medicines Optimisation Team please phone 01772 214302</w:t>
    </w:r>
  </w:p>
  <w:p w14:paraId="3555C4F2" w14:textId="77777777" w:rsidR="004E7601" w:rsidRDefault="004E7601" w:rsidP="004E7601">
    <w:pPr>
      <w:spacing w:line="240" w:lineRule="auto"/>
      <w:contextualSpacing/>
      <w:jc w:val="center"/>
      <w:rPr>
        <w:rStyle w:val="Hyperlink"/>
        <w:rFonts w:asciiTheme="minorHAnsi" w:eastAsiaTheme="minorHAnsi" w:hAnsiTheme="minorHAnsi" w:cstheme="minorHAnsi"/>
        <w:b/>
        <w:sz w:val="16"/>
        <w:szCs w:val="16"/>
        <w:lang w:eastAsia="en-US"/>
      </w:rPr>
    </w:pPr>
    <w:r w:rsidRPr="005C015E">
      <w:rPr>
        <w:rFonts w:asciiTheme="minorHAnsi" w:eastAsiaTheme="minorHAnsi" w:hAnsiTheme="minorHAnsi" w:cstheme="minorHAnsi"/>
        <w:b/>
        <w:color w:val="1F3864" w:themeColor="accent1" w:themeShade="80"/>
        <w:sz w:val="16"/>
        <w:szCs w:val="16"/>
        <w:lang w:eastAsia="en-US"/>
      </w:rPr>
      <w:t xml:space="preserve">If you have any suggestions for future topics to cover in our prescribing </w:t>
    </w:r>
    <w:proofErr w:type="gramStart"/>
    <w:r w:rsidRPr="005C015E">
      <w:rPr>
        <w:rFonts w:asciiTheme="minorHAnsi" w:eastAsiaTheme="minorHAnsi" w:hAnsiTheme="minorHAnsi" w:cstheme="minorHAnsi"/>
        <w:b/>
        <w:color w:val="1F3864" w:themeColor="accent1" w:themeShade="80"/>
        <w:sz w:val="16"/>
        <w:szCs w:val="16"/>
        <w:lang w:eastAsia="en-US"/>
      </w:rPr>
      <w:t>tips</w:t>
    </w:r>
    <w:proofErr w:type="gramEnd"/>
    <w:r w:rsidRPr="005C015E">
      <w:rPr>
        <w:rFonts w:asciiTheme="minorHAnsi" w:eastAsiaTheme="minorHAnsi" w:hAnsiTheme="minorHAnsi" w:cstheme="minorHAnsi"/>
        <w:b/>
        <w:color w:val="1F3864" w:themeColor="accent1" w:themeShade="80"/>
        <w:sz w:val="16"/>
        <w:szCs w:val="16"/>
        <w:lang w:eastAsia="en-US"/>
      </w:rPr>
      <w:t xml:space="preserve"> please contact </w:t>
    </w:r>
    <w:hyperlink r:id="rId1" w:history="1">
      <w:r w:rsidRPr="00883A93">
        <w:rPr>
          <w:rStyle w:val="Hyperlink"/>
          <w:rFonts w:asciiTheme="minorHAnsi" w:eastAsiaTheme="minorHAnsi" w:hAnsiTheme="minorHAnsi" w:cstheme="minorHAnsi"/>
          <w:b/>
          <w:sz w:val="16"/>
          <w:szCs w:val="16"/>
          <w:lang w:eastAsia="en-US"/>
        </w:rPr>
        <w:t>Nicola.schaffel@nhs.net</w:t>
      </w:r>
    </w:hyperlink>
  </w:p>
  <w:p w14:paraId="29AF6B11" w14:textId="6A05F0E1" w:rsidR="004E7601" w:rsidRPr="00B9378C" w:rsidRDefault="004E7601" w:rsidP="00B9378C">
    <w:pPr>
      <w:spacing w:line="240" w:lineRule="auto"/>
      <w:contextualSpacing/>
      <w:jc w:val="center"/>
      <w:rPr>
        <w:rFonts w:asciiTheme="minorHAnsi" w:eastAsiaTheme="minorHAnsi" w:hAnsiTheme="minorHAnsi" w:cstheme="minorHAnsi"/>
        <w:b/>
        <w:sz w:val="16"/>
        <w:szCs w:val="16"/>
        <w:lang w:eastAsia="en-US"/>
      </w:rPr>
    </w:pPr>
    <w:r w:rsidRPr="008A10D4">
      <w:rPr>
        <w:rStyle w:val="Hyperlink"/>
        <w:rFonts w:asciiTheme="minorHAnsi" w:eastAsiaTheme="minorHAnsi" w:hAnsiTheme="minorHAnsi" w:cstheme="minorHAnsi"/>
        <w:b/>
        <w:color w:val="auto"/>
        <w:sz w:val="16"/>
        <w:szCs w:val="16"/>
        <w:u w:val="none"/>
        <w:lang w:eastAsia="en-US"/>
      </w:rPr>
      <w:t>All content accurate and correct on the date of issue of this tip.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C8A986" w14:textId="77777777" w:rsidR="00C24E5B" w:rsidRDefault="00C24E5B">
      <w:pPr>
        <w:spacing w:after="0" w:line="240" w:lineRule="auto"/>
      </w:pPr>
      <w:r>
        <w:separator/>
      </w:r>
    </w:p>
  </w:footnote>
  <w:footnote w:type="continuationSeparator" w:id="0">
    <w:p w14:paraId="2B190E5D" w14:textId="77777777" w:rsidR="00C24E5B" w:rsidRDefault="00C24E5B">
      <w:pPr>
        <w:spacing w:after="0" w:line="240" w:lineRule="auto"/>
      </w:pPr>
      <w:r>
        <w:continuationSeparator/>
      </w:r>
    </w:p>
  </w:footnote>
  <w:footnote w:type="continuationNotice" w:id="1">
    <w:p w14:paraId="309EC983" w14:textId="77777777" w:rsidR="00C24E5B" w:rsidRDefault="00C24E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176ED" w14:textId="2B43C815" w:rsidR="00305C95" w:rsidRPr="0042428A" w:rsidRDefault="0042340F" w:rsidP="00305C95">
    <w:pPr>
      <w:pStyle w:val="Header"/>
      <w:spacing w:after="0"/>
      <w:jc w:val="both"/>
      <w:rPr>
        <w:rFonts w:ascii="Arial" w:hAnsi="Arial" w:cs="Arial"/>
        <w:sz w:val="20"/>
        <w:szCs w:val="20"/>
      </w:rPr>
    </w:pPr>
    <w:r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1" behindDoc="1" locked="0" layoutInCell="1" allowOverlap="1" wp14:anchorId="16F416FE" wp14:editId="4E83E05A">
          <wp:simplePos x="0" y="0"/>
          <wp:positionH relativeFrom="column">
            <wp:posOffset>4594860</wp:posOffset>
          </wp:positionH>
          <wp:positionV relativeFrom="paragraph">
            <wp:posOffset>-55880</wp:posOffset>
          </wp:positionV>
          <wp:extent cx="721970" cy="471859"/>
          <wp:effectExtent l="0" t="0" r="2540" b="4445"/>
          <wp:wrapNone/>
          <wp:docPr id="808750237" name="Picture 80875023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543" cy="4768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01C1" w:rsidRPr="000B325A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20F48AB" wp14:editId="3442C299">
          <wp:simplePos x="0" y="0"/>
          <wp:positionH relativeFrom="column">
            <wp:posOffset>5545938</wp:posOffset>
          </wp:positionH>
          <wp:positionV relativeFrom="paragraph">
            <wp:posOffset>-78740</wp:posOffset>
          </wp:positionV>
          <wp:extent cx="1075207" cy="464820"/>
          <wp:effectExtent l="0" t="0" r="0" b="0"/>
          <wp:wrapNone/>
          <wp:docPr id="969622552" name="Picture 96962255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537" cy="467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5C95" w:rsidRPr="000B325A">
      <w:rPr>
        <w:rFonts w:ascii="Arial" w:hAnsi="Arial" w:cs="Arial"/>
        <w:sz w:val="20"/>
        <w:szCs w:val="20"/>
      </w:rPr>
      <w:t>P</w:t>
    </w:r>
    <w:r w:rsidR="00305C95" w:rsidRPr="0042428A">
      <w:rPr>
        <w:rFonts w:ascii="Arial" w:hAnsi="Arial" w:cs="Arial"/>
        <w:sz w:val="20"/>
        <w:szCs w:val="20"/>
      </w:rPr>
      <w:t xml:space="preserve">rescribing tip number: </w:t>
    </w:r>
    <w:r w:rsidR="00864256">
      <w:rPr>
        <w:rFonts w:ascii="Arial" w:hAnsi="Arial" w:cs="Arial"/>
        <w:sz w:val="20"/>
        <w:szCs w:val="20"/>
      </w:rPr>
      <w:t>425</w:t>
    </w:r>
  </w:p>
  <w:p w14:paraId="7CF38347" w14:textId="73819D81" w:rsidR="00DC549F" w:rsidRPr="0042428A" w:rsidRDefault="00E042CB" w:rsidP="00622C26">
    <w:pPr>
      <w:pStyle w:val="Header"/>
      <w:spacing w:after="0"/>
      <w:jc w:val="both"/>
      <w:rPr>
        <w:rFonts w:ascii="Arial" w:hAnsi="Arial" w:cs="Arial"/>
        <w:sz w:val="20"/>
        <w:szCs w:val="20"/>
      </w:rPr>
    </w:pPr>
    <w:r w:rsidRPr="00705B19">
      <w:rPr>
        <w:rFonts w:ascii="Arial" w:eastAsiaTheme="minorHAnsi" w:hAnsi="Arial" w:cs="Arial"/>
        <w:bCs/>
        <w:noProof/>
        <w:sz w:val="16"/>
        <w:szCs w:val="16"/>
        <w:lang w:eastAsia="en-US"/>
      </w:rPr>
      <mc:AlternateContent>
        <mc:Choice Requires="wps">
          <w:drawing>
            <wp:anchor distT="45720" distB="45720" distL="114300" distR="114300" simplePos="0" relativeHeight="251660289" behindDoc="1" locked="0" layoutInCell="1" allowOverlap="1" wp14:anchorId="2D0465DC" wp14:editId="4C3643EC">
              <wp:simplePos x="0" y="0"/>
              <wp:positionH relativeFrom="margin">
                <wp:posOffset>2011680</wp:posOffset>
              </wp:positionH>
              <wp:positionV relativeFrom="paragraph">
                <wp:posOffset>91440</wp:posOffset>
              </wp:positionV>
              <wp:extent cx="2377440" cy="282575"/>
              <wp:effectExtent l="0" t="0" r="22860" b="22225"/>
              <wp:wrapTight wrapText="bothSides">
                <wp:wrapPolygon edited="0">
                  <wp:start x="0" y="0"/>
                  <wp:lineTo x="0" y="21600"/>
                  <wp:lineTo x="21540" y="21600"/>
                  <wp:lineTo x="21540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2825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 w="1587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917B8D" w14:textId="77777777" w:rsidR="0042340F" w:rsidRPr="003B7F3E" w:rsidRDefault="0042340F" w:rsidP="0042340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3B7F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Prescribing Tip </w:t>
                          </w:r>
                          <w:proofErr w:type="gramStart"/>
                          <w:r w:rsidRPr="003B7F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For</w:t>
                          </w:r>
                          <w:proofErr w:type="gramEnd"/>
                          <w:r w:rsidRPr="003B7F3E">
                            <w:rPr>
                              <w:rFonts w:ascii="Arial" w:hAnsi="Arial" w:cs="Arial"/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0465D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58.4pt;margin-top:7.2pt;width:187.2pt;height:22.25pt;z-index:-251656191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" fillcolor="#8eaadb [1940]" strokecolor="#1f3763 [1604]" strokeweight="1.25pt">
              <v:textbox>
                <w:txbxContent>
                  <w:p w14:paraId="15917B8D" w14:textId="77777777" w:rsidR="0042340F" w:rsidRPr="003B7F3E" w:rsidRDefault="0042340F" w:rsidP="0042340F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3B7F3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Prescribing Tip </w:t>
                    </w:r>
                    <w:proofErr w:type="gramStart"/>
                    <w:r w:rsidRPr="003B7F3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For</w:t>
                    </w:r>
                    <w:proofErr w:type="gramEnd"/>
                    <w:r w:rsidRPr="003B7F3E">
                      <w:rPr>
                        <w:rFonts w:ascii="Arial" w:hAnsi="Arial" w:cs="Arial"/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Information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 w:rsidR="00305C95" w:rsidRPr="0042428A">
      <w:rPr>
        <w:rFonts w:ascii="Arial" w:hAnsi="Arial" w:cs="Arial"/>
        <w:sz w:val="20"/>
        <w:szCs w:val="20"/>
      </w:rPr>
      <w:t xml:space="preserve">Date: </w:t>
    </w:r>
    <w:r w:rsidR="00864256">
      <w:rPr>
        <w:rFonts w:ascii="Arial" w:hAnsi="Arial" w:cs="Arial"/>
        <w:sz w:val="20"/>
        <w:szCs w:val="20"/>
      </w:rPr>
      <w:t>25</w:t>
    </w:r>
    <w:r w:rsidR="00864256" w:rsidRPr="00864256">
      <w:rPr>
        <w:rFonts w:ascii="Arial" w:hAnsi="Arial" w:cs="Arial"/>
        <w:sz w:val="20"/>
        <w:szCs w:val="20"/>
        <w:vertAlign w:val="superscript"/>
      </w:rPr>
      <w:t>th</w:t>
    </w:r>
    <w:r w:rsidR="00864256">
      <w:rPr>
        <w:rFonts w:ascii="Arial" w:hAnsi="Arial" w:cs="Arial"/>
        <w:sz w:val="20"/>
        <w:szCs w:val="20"/>
      </w:rPr>
      <w:t xml:space="preserve"> 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629D"/>
    <w:multiLevelType w:val="multilevel"/>
    <w:tmpl w:val="BF78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E56FB5"/>
    <w:multiLevelType w:val="hybridMultilevel"/>
    <w:tmpl w:val="CC44E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257B5"/>
    <w:multiLevelType w:val="hybridMultilevel"/>
    <w:tmpl w:val="15246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790D85"/>
    <w:multiLevelType w:val="hybridMultilevel"/>
    <w:tmpl w:val="AF5CD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96014"/>
    <w:multiLevelType w:val="hybridMultilevel"/>
    <w:tmpl w:val="5232C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00D21"/>
    <w:multiLevelType w:val="hybridMultilevel"/>
    <w:tmpl w:val="F5A8B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F32A1"/>
    <w:multiLevelType w:val="multilevel"/>
    <w:tmpl w:val="0158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33D31F7"/>
    <w:multiLevelType w:val="hybridMultilevel"/>
    <w:tmpl w:val="4B0C71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750417"/>
    <w:multiLevelType w:val="hybridMultilevel"/>
    <w:tmpl w:val="2132FDA0"/>
    <w:lvl w:ilvl="0" w:tplc="B4CCA21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42E43"/>
    <w:multiLevelType w:val="hybridMultilevel"/>
    <w:tmpl w:val="C76AB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33DE5"/>
    <w:multiLevelType w:val="multilevel"/>
    <w:tmpl w:val="7812B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6775AE5"/>
    <w:multiLevelType w:val="hybridMultilevel"/>
    <w:tmpl w:val="B84E1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D946E4"/>
    <w:multiLevelType w:val="hybridMultilevel"/>
    <w:tmpl w:val="F9246E72"/>
    <w:lvl w:ilvl="0" w:tplc="64720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416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56C3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1ED2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1E09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06B0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C0C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AAA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C9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00141"/>
    <w:multiLevelType w:val="multilevel"/>
    <w:tmpl w:val="AE8E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96448">
    <w:abstractNumId w:val="12"/>
  </w:num>
  <w:num w:numId="2" w16cid:durableId="1267424891">
    <w:abstractNumId w:val="6"/>
  </w:num>
  <w:num w:numId="3" w16cid:durableId="1391272994">
    <w:abstractNumId w:val="7"/>
  </w:num>
  <w:num w:numId="4" w16cid:durableId="1224831107">
    <w:abstractNumId w:val="10"/>
  </w:num>
  <w:num w:numId="5" w16cid:durableId="48652778">
    <w:abstractNumId w:val="0"/>
  </w:num>
  <w:num w:numId="6" w16cid:durableId="378936557">
    <w:abstractNumId w:val="2"/>
  </w:num>
  <w:num w:numId="7" w16cid:durableId="1856454201">
    <w:abstractNumId w:val="11"/>
  </w:num>
  <w:num w:numId="8" w16cid:durableId="1356535474">
    <w:abstractNumId w:val="13"/>
  </w:num>
  <w:num w:numId="9" w16cid:durableId="589893330">
    <w:abstractNumId w:val="4"/>
  </w:num>
  <w:num w:numId="10" w16cid:durableId="1890071358">
    <w:abstractNumId w:val="1"/>
  </w:num>
  <w:num w:numId="11" w16cid:durableId="1538467660">
    <w:abstractNumId w:val="5"/>
  </w:num>
  <w:num w:numId="12" w16cid:durableId="929856572">
    <w:abstractNumId w:val="9"/>
  </w:num>
  <w:num w:numId="13" w16cid:durableId="1685747674">
    <w:abstractNumId w:val="3"/>
  </w:num>
  <w:num w:numId="14" w16cid:durableId="190895538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B0D"/>
    <w:rsid w:val="00024900"/>
    <w:rsid w:val="0005172E"/>
    <w:rsid w:val="00064EC1"/>
    <w:rsid w:val="0009011C"/>
    <w:rsid w:val="00096B2A"/>
    <w:rsid w:val="000B1846"/>
    <w:rsid w:val="000B325A"/>
    <w:rsid w:val="000B6958"/>
    <w:rsid w:val="000D2F0B"/>
    <w:rsid w:val="001336AD"/>
    <w:rsid w:val="00150569"/>
    <w:rsid w:val="00187120"/>
    <w:rsid w:val="001C4EAB"/>
    <w:rsid w:val="001E1E91"/>
    <w:rsid w:val="002071D7"/>
    <w:rsid w:val="0023338A"/>
    <w:rsid w:val="00235CBF"/>
    <w:rsid w:val="00237E2C"/>
    <w:rsid w:val="00244F14"/>
    <w:rsid w:val="0024595D"/>
    <w:rsid w:val="002B3172"/>
    <w:rsid w:val="002C1CC3"/>
    <w:rsid w:val="002F5C53"/>
    <w:rsid w:val="0030164A"/>
    <w:rsid w:val="00305C95"/>
    <w:rsid w:val="00327F5B"/>
    <w:rsid w:val="00395C1C"/>
    <w:rsid w:val="003D0624"/>
    <w:rsid w:val="00414740"/>
    <w:rsid w:val="0042340F"/>
    <w:rsid w:val="0042428A"/>
    <w:rsid w:val="0048350F"/>
    <w:rsid w:val="004935FE"/>
    <w:rsid w:val="004D5EC2"/>
    <w:rsid w:val="004E5317"/>
    <w:rsid w:val="004E7601"/>
    <w:rsid w:val="004F361A"/>
    <w:rsid w:val="00543DC0"/>
    <w:rsid w:val="0058119F"/>
    <w:rsid w:val="00585282"/>
    <w:rsid w:val="00593BD1"/>
    <w:rsid w:val="005971C4"/>
    <w:rsid w:val="005B1FD2"/>
    <w:rsid w:val="005C015E"/>
    <w:rsid w:val="005E3242"/>
    <w:rsid w:val="005E4EF4"/>
    <w:rsid w:val="005E7CE6"/>
    <w:rsid w:val="0061157D"/>
    <w:rsid w:val="00622C26"/>
    <w:rsid w:val="00625F39"/>
    <w:rsid w:val="00644DD6"/>
    <w:rsid w:val="0067425E"/>
    <w:rsid w:val="00681EB0"/>
    <w:rsid w:val="006B59AD"/>
    <w:rsid w:val="006E27D9"/>
    <w:rsid w:val="006E5481"/>
    <w:rsid w:val="006F2645"/>
    <w:rsid w:val="00703565"/>
    <w:rsid w:val="00714916"/>
    <w:rsid w:val="007803C8"/>
    <w:rsid w:val="00864256"/>
    <w:rsid w:val="008A0AF8"/>
    <w:rsid w:val="008A10D4"/>
    <w:rsid w:val="008A4C51"/>
    <w:rsid w:val="008A5995"/>
    <w:rsid w:val="008A7C9B"/>
    <w:rsid w:val="008B6EB5"/>
    <w:rsid w:val="008C006F"/>
    <w:rsid w:val="008D0DFE"/>
    <w:rsid w:val="008F04B5"/>
    <w:rsid w:val="009077F1"/>
    <w:rsid w:val="00907A92"/>
    <w:rsid w:val="009543B6"/>
    <w:rsid w:val="00955757"/>
    <w:rsid w:val="009A751A"/>
    <w:rsid w:val="009B1405"/>
    <w:rsid w:val="009E1725"/>
    <w:rsid w:val="00A652F0"/>
    <w:rsid w:val="00AC67D6"/>
    <w:rsid w:val="00AF4895"/>
    <w:rsid w:val="00B046EE"/>
    <w:rsid w:val="00B22354"/>
    <w:rsid w:val="00B5744E"/>
    <w:rsid w:val="00B648D9"/>
    <w:rsid w:val="00B650AF"/>
    <w:rsid w:val="00B76758"/>
    <w:rsid w:val="00B767EE"/>
    <w:rsid w:val="00B9378C"/>
    <w:rsid w:val="00C001C1"/>
    <w:rsid w:val="00C00B0D"/>
    <w:rsid w:val="00C24CD2"/>
    <w:rsid w:val="00C24E5B"/>
    <w:rsid w:val="00C25C25"/>
    <w:rsid w:val="00C44128"/>
    <w:rsid w:val="00C4572E"/>
    <w:rsid w:val="00C9343B"/>
    <w:rsid w:val="00CC379E"/>
    <w:rsid w:val="00D04324"/>
    <w:rsid w:val="00D16374"/>
    <w:rsid w:val="00D20CC0"/>
    <w:rsid w:val="00D233C9"/>
    <w:rsid w:val="00D37FF7"/>
    <w:rsid w:val="00D51173"/>
    <w:rsid w:val="00D65615"/>
    <w:rsid w:val="00DC0322"/>
    <w:rsid w:val="00DC549F"/>
    <w:rsid w:val="00DE14A5"/>
    <w:rsid w:val="00DF11AE"/>
    <w:rsid w:val="00E02C79"/>
    <w:rsid w:val="00E042CB"/>
    <w:rsid w:val="00E110CC"/>
    <w:rsid w:val="00E1534F"/>
    <w:rsid w:val="00E270DF"/>
    <w:rsid w:val="00E409A6"/>
    <w:rsid w:val="00E42C92"/>
    <w:rsid w:val="00E634F5"/>
    <w:rsid w:val="00E90905"/>
    <w:rsid w:val="00E9627A"/>
    <w:rsid w:val="00EC3229"/>
    <w:rsid w:val="00EC6F98"/>
    <w:rsid w:val="00ED69EE"/>
    <w:rsid w:val="00EE5EE0"/>
    <w:rsid w:val="00F023EB"/>
    <w:rsid w:val="00F519B9"/>
    <w:rsid w:val="00F570BF"/>
    <w:rsid w:val="00F57404"/>
    <w:rsid w:val="00F81359"/>
    <w:rsid w:val="00FB0CB5"/>
    <w:rsid w:val="00FB2707"/>
    <w:rsid w:val="00FB6A86"/>
    <w:rsid w:val="00FC2AAC"/>
    <w:rsid w:val="00FD773C"/>
    <w:rsid w:val="00FE76D5"/>
    <w:rsid w:val="0376EE2B"/>
    <w:rsid w:val="03A25816"/>
    <w:rsid w:val="0875C939"/>
    <w:rsid w:val="09FDC11D"/>
    <w:rsid w:val="0BAD69FB"/>
    <w:rsid w:val="0C0FAA0C"/>
    <w:rsid w:val="0FA1C78F"/>
    <w:rsid w:val="187DD95A"/>
    <w:rsid w:val="1BB47DFD"/>
    <w:rsid w:val="1BE2521B"/>
    <w:rsid w:val="1D504E5E"/>
    <w:rsid w:val="23865EB2"/>
    <w:rsid w:val="26BDFF74"/>
    <w:rsid w:val="27CAEAC4"/>
    <w:rsid w:val="2AAB4E84"/>
    <w:rsid w:val="3046E4DC"/>
    <w:rsid w:val="329784B2"/>
    <w:rsid w:val="3B1D64B7"/>
    <w:rsid w:val="3D4B5248"/>
    <w:rsid w:val="3E550579"/>
    <w:rsid w:val="3EE722A9"/>
    <w:rsid w:val="41AC7356"/>
    <w:rsid w:val="44CE5F92"/>
    <w:rsid w:val="466A2FF3"/>
    <w:rsid w:val="48060054"/>
    <w:rsid w:val="4BFBE189"/>
    <w:rsid w:val="4C952C98"/>
    <w:rsid w:val="55E3DBB9"/>
    <w:rsid w:val="5819F90F"/>
    <w:rsid w:val="5A87374C"/>
    <w:rsid w:val="5C455CC4"/>
    <w:rsid w:val="5CA15469"/>
    <w:rsid w:val="5F56361D"/>
    <w:rsid w:val="62A2CF67"/>
    <w:rsid w:val="64A84D99"/>
    <w:rsid w:val="66441DFA"/>
    <w:rsid w:val="6CF25325"/>
    <w:rsid w:val="6DDE2892"/>
    <w:rsid w:val="6E4786DF"/>
    <w:rsid w:val="6FB6CA19"/>
    <w:rsid w:val="7058A66D"/>
    <w:rsid w:val="7C851748"/>
    <w:rsid w:val="7ED11201"/>
    <w:rsid w:val="7F42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6F27BF"/>
  <w15:chartTrackingRefBased/>
  <w15:docId w15:val="{9953C710-6EBE-4C66-A454-31403F62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B0D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00B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0B0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00B0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00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95C1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48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09A6"/>
    <w:pPr>
      <w:spacing w:before="100" w:beforeAutospacing="1" w:after="100" w:afterAutospacing="1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E14A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as.mhra.gov.uk/ViewandAcknowledgment/ViewAlert.aspx?AlertID=103245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cas.mhra.gov.uk/ViewandAcknowledgment/ViewAlert.aspx?AlertID=103235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ancashireandsouthcumbriammg.nhs.uk/media/1761/algorithm-for-antihyperglycaemic-therapy-in-adults-with-type-ii-v19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ice.org.uk/guidance/ng28/resources/type-2-diabetes-in-adults-management-pdf-1837338615493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nice.org.uk/guidance/ng28/resources/type-2-diabetes-in-adults-management-pdf-183733861549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cola.schaffel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cf9374-0d71-4a51-a9c5-198dd68970ed" xsi:nil="true"/>
    <lcf76f155ced4ddcb4097134ff3c332f xmlns="68f04dcd-1aad-4718-b4ef-cb5a94bb72b3">
      <Terms xmlns="http://schemas.microsoft.com/office/infopath/2007/PartnerControls"/>
    </lcf76f155ced4ddcb4097134ff3c332f>
    <_dlc_DocId xmlns="9ecf9374-0d71-4a51-a9c5-198dd68970ed">ZTN2ZK5Q2N6R-32785368-347415</_dlc_DocId>
    <_dlc_DocIdUrl xmlns="9ecf9374-0d71-4a51-a9c5-198dd68970ed">
      <Url>https://csucloudservices.sharepoint.com/teams/quality/medicine/_layouts/15/DocIdRedir.aspx?ID=ZTN2ZK5Q2N6R-32785368-347415</Url>
      <Description>ZTN2ZK5Q2N6R-32785368-347415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7" ma:contentTypeDescription="Create a new document." ma:contentTypeScope="" ma:versionID="943d45c21eca57f6a03f8b41f16151d7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aecd4213beaa9431b20d16e4ee8eb5bf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0483cc76-f4f0-4c37-93af-129e78472dae}" ma:internalName="TaxCatchAll" ma:showField="CatchAllData" ma:web="9ecf9374-0d71-4a51-a9c5-198dd68970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5e3038f7-01d3-45c6-9ff3-08a5a011bc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D8419-B9D0-4428-AFE7-A493662ED5E6}">
  <ds:schemaRefs>
    <ds:schemaRef ds:uri="http://www.w3.org/XML/1998/namespace"/>
    <ds:schemaRef ds:uri="http://schemas.microsoft.com/office/2006/documentManagement/types"/>
    <ds:schemaRef ds:uri="9ecf9374-0d71-4a51-a9c5-198dd68970ed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68f04dcd-1aad-4718-b4ef-cb5a94bb72b3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792DD09-E387-4699-A4DB-45D11492172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6AAA1A4-59D3-4122-B654-BB4E5CE495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7F5F6EF-9385-487A-9842-2080283040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17482B-BE3A-44D0-A6A6-5933590BC3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481</Words>
  <Characters>2745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McFall (MLCSU)</dc:creator>
  <cp:keywords/>
  <dc:description/>
  <cp:lastModifiedBy>Philip Haydock (MLCSU)</cp:lastModifiedBy>
  <cp:revision>2</cp:revision>
  <dcterms:created xsi:type="dcterms:W3CDTF">2024-01-25T12:27:00Z</dcterms:created>
  <dcterms:modified xsi:type="dcterms:W3CDTF">2024-01-25T12:27:00Z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_dlc_DocIdItemGuid">
    <vt:lpwstr>e9da4ea7-7764-4f35-b328-015c38a88b4c</vt:lpwstr>
  </property>
  <property fmtid="{D5CDD505-2E9C-101B-9397-08002B2CF9AE}" pid="4" name="MediaServiceImageTags">
    <vt:lpwstr/>
  </property>
</Properties>
</file>